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УМОВИ І ПОЛОЖЕННЯ</w:t>
      </w:r>
    </w:p>
    <w:p>
      <w:pPr>
        <w:pStyle w:val="Normal.0"/>
        <w:spacing w:after="0" w:line="240" w:lineRule="auto"/>
        <w:jc w:val="both"/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Дані «Умови та положення»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далі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- </w:t>
      </w:r>
      <w:r>
        <w:rPr>
          <w:rFonts w:ascii="Calibri" w:hAnsi="Calibri" w:hint="default"/>
          <w:sz w:val="22"/>
          <w:szCs w:val="22"/>
          <w:rtl w:val="0"/>
          <w:lang w:val="ru-RU"/>
        </w:rPr>
        <w:t>Умови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>є публічною офертою і набувають чинності як договір після акцепту з вашого боку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Цей веб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сайт керується Академією маркетингу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Докладнішу інформацію про Академію Маркетингу наведено наприкінці цих Умов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Умови будуть застосовуватися до будь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якого бронювання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яке ви робите через цей веб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сайт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а також до використання нами ваших реєстраційних та інших персональних даних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Під терміном «курс» у цих Умовах мається на увазі також модуль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сесія або будь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яка інша освітня послуга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яку надає Академія Маркетингу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Під терміном «навчальний портал» у цих Умовах маються на увазі технічні засоби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платформи для колективної роботи з використанням голосового зв</w:t>
      </w:r>
      <w:r>
        <w:rPr>
          <w:rFonts w:ascii="Calibri" w:hAnsi="Calibri"/>
          <w:sz w:val="22"/>
          <w:szCs w:val="22"/>
          <w:rtl w:val="0"/>
          <w:lang w:val="ru-RU"/>
        </w:rPr>
        <w:t>'</w:t>
      </w:r>
      <w:r>
        <w:rPr>
          <w:rFonts w:ascii="Calibri" w:hAnsi="Calibri" w:hint="default"/>
          <w:sz w:val="22"/>
          <w:szCs w:val="22"/>
          <w:rtl w:val="0"/>
          <w:lang w:val="ru-RU"/>
        </w:rPr>
        <w:t>язку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відеозв</w:t>
      </w:r>
      <w:r>
        <w:rPr>
          <w:rFonts w:ascii="Calibri" w:hAnsi="Calibri"/>
          <w:sz w:val="22"/>
          <w:szCs w:val="22"/>
          <w:rtl w:val="0"/>
          <w:lang w:val="ru-RU"/>
        </w:rPr>
        <w:t>'</w:t>
      </w:r>
      <w:r>
        <w:rPr>
          <w:rFonts w:ascii="Calibri" w:hAnsi="Calibri" w:hint="default"/>
          <w:sz w:val="22"/>
          <w:szCs w:val="22"/>
          <w:rtl w:val="0"/>
          <w:lang w:val="ru-RU"/>
        </w:rPr>
        <w:t>язку та функції демонстрації екрану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хмарні сховища та платформи для обміну файлами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інтернет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сервіси для онлайн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навчання тощо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ru-RU"/>
        </w:rPr>
        <w:t>які використовуються Академією надання освітніх послуг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Рівень вашого доступу до технічних засобів визначається кожною конкретною освітньою послугою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Бронювання курсу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>При реєстрації на курс ви зобов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язуєтесь</w:t>
      </w:r>
      <w:r>
        <w:rPr>
          <w:rtl w:val="0"/>
          <w:lang w:val="ru-RU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надати правдиву та повну інформацію про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підтримувати актуальність реєстраційних даних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оновлюючи їх через електронну пошту відповідального менеджера</w:t>
      </w:r>
      <w:r>
        <w:rPr>
          <w:rtl w:val="0"/>
          <w:lang w:val="ru-RU"/>
        </w:rPr>
        <w:t>;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забезпечити собі достатню швидкість інтернет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 xml:space="preserve">єднання для комфортного доступу до послуг Академії в онлайні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рекомендовані технічні параметри – швидкість інтернету не нижче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Мбіт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 для стандартної якості відео</w:t>
      </w:r>
      <w:r>
        <w:rPr>
          <w:rtl w:val="0"/>
          <w:lang w:val="ru-RU"/>
        </w:rPr>
        <w:t>).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дотримуватись цих Умов та наших політик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ru-RU"/>
        </w:rPr>
        <w:t>Ви підтверджуєте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</w:t>
      </w:r>
      <w:r>
        <w:rPr>
          <w:rtl w:val="0"/>
          <w:lang w:val="ru-RU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ознайомлені з усіма положеннями Умов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Політикою захисту персональних даних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вартістю послуг Академії та приймаєте їх добровільно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Ваша згода виражається у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якому платежі за нашу послугу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є громадянином Росії чи Білорусі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ru-RU"/>
        </w:rPr>
        <w:t>Ви маєте право на</w:t>
      </w:r>
      <w:r>
        <w:rPr>
          <w:rtl w:val="0"/>
          <w:lang w:val="ru-RU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підтвердження бронювання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оплати та отримання необхідної інформації та матеріалів</w:t>
      </w:r>
      <w:r>
        <w:rPr>
          <w:rtl w:val="0"/>
          <w:lang w:val="ru-RU"/>
        </w:rPr>
        <w:t>;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отримання послуги відповідно до опису на сайті Академії</w:t>
      </w:r>
      <w:r>
        <w:rPr>
          <w:rtl w:val="0"/>
          <w:lang w:val="ru-RU"/>
        </w:rPr>
        <w:t>;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постійний або тимчасовий доступ до навчального порталу Академії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якщо це передбачено умовами надання послуги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Скасування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перенесення чи заміни делегатів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Академія Маркетингу залишає за собою право у виняткових випадках змінювати або скасовувати курс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 проведення курсу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дати чи опубліковані ціни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які зміни будуть повідомлені до дати початку курсу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і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який курс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сплачений повністю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підлягатиме підвищенню ціни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Якщо ви скасовуєте відвідування курсу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Академія Маркетингу залишає за собою право стягувати плату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призначену для покриття організаційних витрат та банківських комісій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Якщо інше не передбачено окремою угодою з 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зазначена плата складає фіксовану суму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визначається у відсотковому співвідношенні від мінімальної вартості організації курсу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Академія Маркетингу має право вважати всю суму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сплачену 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безповоротною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актуально для бюджетних курсів</w:t>
      </w:r>
      <w:r>
        <w:rPr>
          <w:rtl w:val="0"/>
          <w:lang w:val="ru-RU"/>
        </w:rPr>
        <w:t>).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За погодженням з Академією Маркетингу ви можете замінити первинного делегата на альтернативний без додаткової плати до дати початку курсу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 також зобов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язуєтеся ознайомити альтернативного делегата з цими Умовами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альтернативний делегат зобов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язується прийняти їх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щоб бути зарахованим до курсу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цьому випадку акцепт Умов виражається у передачі цією особою своїх реєстраційних даних через цей сайт чи іншим способом відповідальному менеджеру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Після активації курсу заміна делегата неможлива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Курс вважається активованим з отримання доступу делегата до матеріалів курсу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які скасування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переноси або заміни мають бути надіслані електронною поштою на </w:t>
      </w:r>
      <w:r>
        <w:rPr>
          <w:rtl w:val="0"/>
          <w:lang w:val="ru-RU"/>
        </w:rPr>
        <w:t xml:space="preserve">kateryna.prykhodko@cim-mia.com </w:t>
      </w:r>
      <w:r>
        <w:rPr>
          <w:rtl w:val="0"/>
          <w:lang w:val="ru-RU"/>
        </w:rPr>
        <w:t>та підтверджені Академією Маркетингу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b w:val="1"/>
          <w:bCs w:val="1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Перевод на інший курс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Якщо Академія Маркетинг має таку можливість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за погодженням сторін делегата можна перевести без оплати на альтернативний курс або з доплатою на курс з вищою ціною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Дозволяється лише одне перенесення однією бронювання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Якщо до початкового бронювання було застосовано знижку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Академія Маркетингу залишає за собою право стягувати повну вартість альтернативного курсу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Інші умови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Бронювання курсу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якщо інше не узгоджено наперед у письмовій формі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здійснюється для одного делегата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Академія Маркетингу залишає за собою право виключити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якого делегата зі своєї програми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якщо він порушить ці Умови або продемонструє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яку іншу поведінку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яка вважатиметься неналежною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 призведе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повернення плати за курс або оплата інших витрат не буде здійснюватися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Підставою для повернення коштів не може бути нестабільне з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єднання або перебої в роботі інтернет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виникли у вас під час надання послуги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b w:val="1"/>
          <w:bCs w:val="1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Умови використання навчального порталу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Ви можете використовувати навчальний портал лише з законною метою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порушуючи права третіх осіб і не завдаючи шкоди репутації Академії Маркетингу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Забороняється використовувати портал для розповсюдження небажаної реклами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спаму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фінансових схем чи матеріалів з вірусами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можуть зашкодити програмному забезпеченню чи обладнанню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Ви погоджуєтесь захищати Академію Маркетингу від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яких претензій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збитків та витрат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язаних із вашим використанням порталу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Вміст навчального порталу надається «як є» та «у міру доступності» без гарантій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Академія не відповідає за матеріали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доступні через пов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язані платформи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вона не адмініструє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За жодних обставин Академія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її співробітники та запрошені спікери не несуть відповідальності за збитки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виникли внаслідок використання матеріалів порталу або пов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язаних платформ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Авторські права та товарні знаки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Авторські права та інші права на матеріали навчального порталу належать Академії Маркетингу або включені з дозволу власника прав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Як відвідувач навчального порталу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 можете завантажити одну копію матеріалів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розміщених на цьому порталі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один комп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ютер лише для перегляду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прослуховування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Окремі копії сторінок з цього порталу можуть бути роздруковані виключно з метою надання особі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яка друкує сторінку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можливості зберегти копію для своїх особистих записів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Копіювання або розповсюдження матеріалів навчального порталу для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якого комерційного чи ділового використання не допускається без нашої попередньої письмової згоди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Фотозйомка або відеотрансляція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зміна або модифікація вмісту навчального порталу не допускається без нашої попередньої письмової згоди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винятком випадків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 це може бути необхідним для використання навчального порталу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Відповідно до цього пункту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всі права на матеріали навчального порталу зберігаються за Академією Маркетингу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Використання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якого програмного забезпечення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доступного для завантаження з навчального порталу або за рекомендацією співробітників Академії Маркетингу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регулюється умовами ліцензійної угоди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додається до програмного забезпечення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Усі товарні 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знаки обслуговування та торгові найменування на навчальному порталі є товарними знаками відповідних власників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яке несанкціоноване використання заборонено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Інтелектуальна власність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Усі матеріали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надаються Академією Маркетингу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залишаються інтелектуальною власністю Академії Маркетингу та її партнерів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заявляють про свої права на світові авторські права та всі суміжні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якщо інше не узгоджено у письмовій формі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Прийняття цих Умов означає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ви даєте дозвіл Академії Маркетингу здійснювати фіксацію послуг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надаються за допомогою відеозйомки 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або аудіозапису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і використовувати їх результати в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якій формі та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якими способами без узгодження з 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тому числі у всіх проектах 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або заходах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організуються 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або проведених Академією Маркетингу як рекламний матеріал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передавати третім особам тощо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Захист даних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Академія Маркетингу не продає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обмінює та не здає в оренду вашу особисту інформацію іншим особам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 Академія Маркетингу може зв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язатися з 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щоб надати корисну та цікаву додаткову інформацію про наші продукти та послуги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Відповідальність сторін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За винятком випадків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 передбачених у цих Умовах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Академія Маркетингу за жодних обставин не несе відповідальності за непрямі збитки чи втрати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якого 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включаючи втрату прибутку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бізнесу чи доходу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виникають через чи якимось чином пов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язані з виконанням чи невиконанням цих Умов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порушенням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якої явної чи передбачуваної умови чи гарантії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або коли виконання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якого з наших зобов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язань перед вами запобігається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засмучується чи утруднюється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якою обставиною чи причиною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знаходиться поза нашим розумним контролем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крім іншого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пожежу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повінь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блискавку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громадянські хвилювання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зловмисний збиток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дотримання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якого закону чи урядової постанови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аварію чи поломку обладнання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обладнання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комунальних служб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ютерних серверів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телекомунікаційних мереж чи невиконання зобов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язань постачальниками чи субпідрядниками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Академія Маркетингу не прагне виключити чи обмежити свою відповідальність за смерть чи тілесні ушкодження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виникли внаслідок недбалості її співробітників чи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якого шахрайського спотворення фактів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умови дотримання цього відповідальність Академії Маркетингу перед вами відповідно до цих Умов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незалежно від причини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обмежується заміною послуг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або повним відшкодуванням ціни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 зазначено вище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наша відповідальність перед вами не повинна перевищувати загальну ціну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яка стягується за придбані послуги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Академія Маркетингу забезпечує організацію освітніх послуг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 не гарантує успішного складання тестувань або іспитів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Повна відповідальність за це лежить на вас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Законні права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Ці Умови є доповненням до законних прав як споживача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залишаються незмінними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Застосовне право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які договори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укладені з Академією Маркетингу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повністю підпорядковуються чинному законодавству країни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 зареєстрована Академія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Цим ви погоджуєтесь підкорятися невиключній юрисдикції відповідних судів цієї країни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Політика перегляду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Академія Маркетингу залишає за собою право час від часу змінювати ці Умови та положення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Такі зміни набувають чинності негайно після публікації змінених Умов та положення на веб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сайті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Продовжуючи використовувати навчальний портал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 вважаєтеся такими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прийняли такі зміни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b w:val="1"/>
          <w:bCs w:val="1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Зареєстрований офіс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ТОВ «ПРЕМ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ЄР КОНСАЛТИНГ»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02149, </w:t>
      </w:r>
      <w:r>
        <w:rPr>
          <w:rtl w:val="0"/>
          <w:lang w:val="ru-RU"/>
        </w:rPr>
        <w:t>Україна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Київ</w:t>
      </w:r>
      <w:r>
        <w:rPr>
          <w:rtl w:val="0"/>
          <w:lang w:val="ru-RU"/>
        </w:rPr>
        <w:t>,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пр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Миколи Бажана</w:t>
      </w:r>
      <w:r>
        <w:rPr>
          <w:rtl w:val="0"/>
          <w:lang w:val="ru-RU"/>
        </w:rPr>
        <w:t xml:space="preserve">, 26, </w:t>
      </w:r>
      <w:r>
        <w:rPr>
          <w:rtl w:val="0"/>
          <w:lang w:val="ru-RU"/>
        </w:rPr>
        <w:t>оф</w:t>
      </w:r>
      <w:r>
        <w:rPr>
          <w:rtl w:val="0"/>
          <w:lang w:val="ru-RU"/>
        </w:rPr>
        <w:t>.244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ЄДРПОУ</w:t>
      </w:r>
      <w:r>
        <w:rPr>
          <w:rtl w:val="0"/>
          <w:lang w:val="ru-RU"/>
        </w:rPr>
        <w:t>: 41734458</w:t>
      </w:r>
      <w:r>
        <w:rPr>
          <w:rtl w:val="0"/>
          <w:lang w:val="ru-RU"/>
        </w:rPr>
        <w:t> 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тел</w:t>
      </w:r>
      <w:r>
        <w:rPr>
          <w:rtl w:val="0"/>
          <w:lang w:val="ru-RU"/>
        </w:rPr>
        <w:t>. +38(097)175-84-84;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"mailto:welcome@cim-mia.com"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welcome@cim-mia.com</w:t>
      </w:r>
      <w:r>
        <w:rPr/>
        <w:fldChar w:fldCharType="end" w:fldLock="0"/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Реквізити банку</w:t>
      </w:r>
    </w:p>
    <w:p>
      <w:pPr>
        <w:pStyle w:val="Normal.0"/>
        <w:spacing w:after="0" w:line="240" w:lineRule="auto"/>
        <w:jc w:val="both"/>
      </w:pPr>
      <w:r>
        <w:rPr>
          <w:u w:val="single"/>
          <w:rtl w:val="0"/>
          <w:lang w:val="ru-RU"/>
        </w:rPr>
        <w:t>USD</w:t>
      </w:r>
      <w:r>
        <w:rPr>
          <w:rtl w:val="0"/>
          <w:lang w:val="ru-RU"/>
        </w:rPr>
        <w:t xml:space="preserve">: PREMIER CONSULTING LIMITED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JSC CB "PRIVATBANK",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1D HRUSHEVSKOHO STR.,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KYIV, 01001, UKRAINE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IBAN UA973052990000026004005041449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SWIFT code PBANUA2X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u w:val="single"/>
          <w:rtl w:val="0"/>
          <w:lang w:val="ru-RU"/>
        </w:rPr>
        <w:t>GBP</w:t>
      </w:r>
      <w:r>
        <w:rPr>
          <w:rtl w:val="0"/>
          <w:lang w:val="ru-RU"/>
        </w:rPr>
        <w:t xml:space="preserve">: PREMIER CONSULTING LIMITED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JSC CB "PRIVATBANK",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1D HRUSHEVSKOHO STR.,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KYIV, 01001, UKRAINE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IBAN UA513052990000026006005026398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>SWIFT code PBANUA2X</w:t>
      </w: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